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8F8" w14:textId="0CFA36AF" w:rsidR="00901F17" w:rsidRPr="00693385" w:rsidRDefault="00713700" w:rsidP="00CF77E2">
      <w:pPr>
        <w:pStyle w:val="Sidhuvud"/>
        <w:tabs>
          <w:tab w:val="clear" w:pos="4536"/>
          <w:tab w:val="clear" w:pos="9072"/>
          <w:tab w:val="right" w:pos="9639"/>
        </w:tabs>
        <w:spacing w:before="600" w:after="120"/>
        <w:ind w:left="142"/>
        <w:jc w:val="both"/>
        <w:rPr>
          <w:rFonts w:ascii="Arial Black" w:hAnsi="Arial Black"/>
          <w:b/>
          <w:sz w:val="64"/>
          <w:szCs w:val="64"/>
        </w:rPr>
      </w:pPr>
      <w:r w:rsidRPr="00693385">
        <w:rPr>
          <w:rFonts w:ascii="Arial Black" w:hAnsi="Arial Black"/>
          <w:b/>
          <w:sz w:val="64"/>
          <w:szCs w:val="64"/>
        </w:rPr>
        <w:t>Motion</w:t>
      </w:r>
    </w:p>
    <w:p w14:paraId="7E2145FD" w14:textId="77777777" w:rsidR="00D70C05" w:rsidRPr="00D70C05" w:rsidRDefault="00D70C05" w:rsidP="00960CA2">
      <w:pPr>
        <w:tabs>
          <w:tab w:val="right" w:pos="9639"/>
        </w:tabs>
        <w:spacing w:before="0" w:line="276" w:lineRule="auto"/>
        <w:ind w:left="142"/>
        <w:jc w:val="both"/>
        <w:rPr>
          <w:rFonts w:ascii="Arial" w:hAnsi="Arial" w:cs="Arial"/>
          <w:b/>
          <w:bCs/>
          <w:color w:val="222222"/>
          <w:sz w:val="20"/>
          <w:szCs w:val="20"/>
        </w:rPr>
      </w:pPr>
    </w:p>
    <w:p w14:paraId="76F53015" w14:textId="0E787B7D" w:rsidR="004C4DD2" w:rsidRPr="00CF77E2" w:rsidRDefault="00CF77E2" w:rsidP="00960CA2">
      <w:pPr>
        <w:tabs>
          <w:tab w:val="right" w:pos="9639"/>
        </w:tabs>
        <w:spacing w:before="0"/>
        <w:ind w:left="142"/>
        <w:jc w:val="both"/>
        <w:rPr>
          <w:rFonts w:ascii="Arial" w:hAnsi="Arial" w:cs="Arial"/>
          <w:color w:val="222222"/>
          <w:sz w:val="28"/>
          <w:szCs w:val="28"/>
        </w:rPr>
      </w:pPr>
      <w:r w:rsidRPr="00CF77E2">
        <w:rPr>
          <w:rFonts w:ascii="Arial" w:hAnsi="Arial" w:cs="Arial"/>
          <w:b/>
          <w:bCs/>
          <w:color w:val="222222"/>
          <w:sz w:val="44"/>
          <w:szCs w:val="44"/>
        </w:rPr>
        <w:t>Tillsätt en oberoende utredning av haveriet kring Karlgårdsbron</w:t>
      </w:r>
    </w:p>
    <w:p w14:paraId="4A696EC5" w14:textId="77777777" w:rsidR="00CF77E2" w:rsidRDefault="00CF77E2" w:rsidP="00960CA2">
      <w:pPr>
        <w:tabs>
          <w:tab w:val="right" w:pos="9639"/>
        </w:tabs>
        <w:spacing w:before="0"/>
        <w:ind w:left="142"/>
        <w:jc w:val="both"/>
        <w:rPr>
          <w:rFonts w:ascii="Arial" w:hAnsi="Arial" w:cs="Arial"/>
          <w:color w:val="222222"/>
          <w:sz w:val="22"/>
          <w:szCs w:val="22"/>
        </w:rPr>
      </w:pPr>
    </w:p>
    <w:p w14:paraId="37428E1D" w14:textId="142429EF"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Karlgårdsbron har utvecklats till ett av Skellefteå kommuns mest problemfyllda investeringsprojekt någonsin. Från en ursprunglig budget på cirka 300 miljoner kronor har kostnaderna nu skenat till 744 miljoner kronor – en ökning med 148 procent. Utöver detta tillkommer samhällsekonomiska konsekvenser av förseningar på fem år. Trots varningssignaler och kritiska frågor har projektet drivits vidare utan den transparens och styrning som borde prägla en investering i denna storlek.</w:t>
      </w:r>
    </w:p>
    <w:p w14:paraId="0F52CB60"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7650D75F" w14:textId="77777777"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Flera centrala frågor kvarstår:</w:t>
      </w:r>
    </w:p>
    <w:p w14:paraId="16634BE1"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7A62ADA8" w14:textId="16262189" w:rsidR="004C4DD2" w:rsidRPr="00960CA2" w:rsidRDefault="004C4DD2" w:rsidP="00960CA2">
      <w:pPr>
        <w:pStyle w:val="Liststycke"/>
        <w:numPr>
          <w:ilvl w:val="0"/>
          <w:numId w:val="6"/>
        </w:numPr>
        <w:tabs>
          <w:tab w:val="right" w:pos="9639"/>
        </w:tabs>
        <w:spacing w:before="0"/>
        <w:ind w:left="426" w:hanging="284"/>
        <w:jc w:val="both"/>
        <w:rPr>
          <w:rFonts w:ascii="Arial" w:hAnsi="Arial" w:cs="Arial"/>
          <w:color w:val="222222"/>
          <w:sz w:val="22"/>
          <w:szCs w:val="22"/>
        </w:rPr>
      </w:pPr>
      <w:r w:rsidRPr="00960CA2">
        <w:rPr>
          <w:rFonts w:ascii="Arial" w:hAnsi="Arial" w:cs="Arial"/>
          <w:color w:val="222222"/>
          <w:sz w:val="22"/>
          <w:szCs w:val="22"/>
        </w:rPr>
        <w:t>Hur kunde samhällsbyggnadsnämnden godkänna ett anbud som kraftigt avvek från övriga, baserat på en bristfällig förklaring?</w:t>
      </w:r>
    </w:p>
    <w:p w14:paraId="36AD0BB4" w14:textId="77777777" w:rsidR="004C4DD2" w:rsidRPr="00960CA2" w:rsidRDefault="004C4DD2" w:rsidP="00960CA2">
      <w:pPr>
        <w:tabs>
          <w:tab w:val="right" w:pos="9639"/>
        </w:tabs>
        <w:spacing w:before="0"/>
        <w:ind w:left="426" w:hanging="284"/>
        <w:jc w:val="both"/>
        <w:rPr>
          <w:rFonts w:ascii="Arial" w:hAnsi="Arial" w:cs="Arial"/>
          <w:color w:val="222222"/>
          <w:sz w:val="10"/>
          <w:szCs w:val="10"/>
        </w:rPr>
      </w:pPr>
    </w:p>
    <w:p w14:paraId="27A6D408" w14:textId="782BB449" w:rsidR="004C4DD2" w:rsidRPr="00960CA2" w:rsidRDefault="004C4DD2" w:rsidP="00960CA2">
      <w:pPr>
        <w:pStyle w:val="Liststycke"/>
        <w:numPr>
          <w:ilvl w:val="0"/>
          <w:numId w:val="6"/>
        </w:numPr>
        <w:tabs>
          <w:tab w:val="right" w:pos="9639"/>
        </w:tabs>
        <w:spacing w:before="0"/>
        <w:ind w:left="426" w:hanging="284"/>
        <w:jc w:val="both"/>
        <w:rPr>
          <w:rFonts w:ascii="Arial" w:hAnsi="Arial" w:cs="Arial"/>
          <w:color w:val="222222"/>
          <w:sz w:val="22"/>
          <w:szCs w:val="22"/>
        </w:rPr>
      </w:pPr>
      <w:r w:rsidRPr="00960CA2">
        <w:rPr>
          <w:rFonts w:ascii="Arial" w:hAnsi="Arial" w:cs="Arial"/>
          <w:color w:val="222222"/>
          <w:sz w:val="22"/>
          <w:szCs w:val="22"/>
        </w:rPr>
        <w:t>Varför fick inte nämndens ledamöter, åtminstone i oppositionen, ta del av denna förklaring i samband med beslut?</w:t>
      </w:r>
    </w:p>
    <w:p w14:paraId="4620F000" w14:textId="77777777" w:rsidR="004C4DD2" w:rsidRPr="00960CA2" w:rsidRDefault="004C4DD2" w:rsidP="00960CA2">
      <w:pPr>
        <w:tabs>
          <w:tab w:val="right" w:pos="9639"/>
        </w:tabs>
        <w:spacing w:before="0"/>
        <w:ind w:left="426" w:hanging="284"/>
        <w:jc w:val="both"/>
        <w:rPr>
          <w:rFonts w:ascii="Arial" w:hAnsi="Arial" w:cs="Arial"/>
          <w:color w:val="222222"/>
          <w:sz w:val="10"/>
          <w:szCs w:val="10"/>
        </w:rPr>
      </w:pPr>
    </w:p>
    <w:p w14:paraId="78A41992" w14:textId="25B8CAFB" w:rsidR="004C4DD2" w:rsidRPr="00960CA2" w:rsidRDefault="004C4DD2" w:rsidP="00960CA2">
      <w:pPr>
        <w:pStyle w:val="Liststycke"/>
        <w:numPr>
          <w:ilvl w:val="0"/>
          <w:numId w:val="6"/>
        </w:numPr>
        <w:tabs>
          <w:tab w:val="right" w:pos="9639"/>
        </w:tabs>
        <w:spacing w:before="0"/>
        <w:ind w:left="426" w:hanging="284"/>
        <w:jc w:val="both"/>
        <w:rPr>
          <w:rFonts w:ascii="Arial" w:hAnsi="Arial" w:cs="Arial"/>
          <w:color w:val="222222"/>
          <w:sz w:val="22"/>
          <w:szCs w:val="22"/>
        </w:rPr>
      </w:pPr>
      <w:r w:rsidRPr="00960CA2">
        <w:rPr>
          <w:rFonts w:ascii="Arial" w:hAnsi="Arial" w:cs="Arial"/>
          <w:color w:val="222222"/>
          <w:sz w:val="22"/>
          <w:szCs w:val="22"/>
        </w:rPr>
        <w:t>Vilken kontroll genomfördes av entreprenörens referensprojekt för att säkerställa förmåga till budgethållning och genomförande?</w:t>
      </w:r>
    </w:p>
    <w:p w14:paraId="4A75F39E" w14:textId="77777777" w:rsidR="004C4DD2" w:rsidRPr="00960CA2" w:rsidRDefault="004C4DD2" w:rsidP="00960CA2">
      <w:pPr>
        <w:tabs>
          <w:tab w:val="right" w:pos="9639"/>
        </w:tabs>
        <w:spacing w:before="0"/>
        <w:ind w:left="426" w:hanging="284"/>
        <w:jc w:val="both"/>
        <w:rPr>
          <w:rFonts w:ascii="Arial" w:hAnsi="Arial" w:cs="Arial"/>
          <w:color w:val="222222"/>
          <w:sz w:val="10"/>
          <w:szCs w:val="10"/>
        </w:rPr>
      </w:pPr>
    </w:p>
    <w:p w14:paraId="2A0FDEB9" w14:textId="5DBB5971" w:rsidR="004C4DD2" w:rsidRPr="00960CA2" w:rsidRDefault="004C4DD2" w:rsidP="00960CA2">
      <w:pPr>
        <w:pStyle w:val="Liststycke"/>
        <w:numPr>
          <w:ilvl w:val="0"/>
          <w:numId w:val="6"/>
        </w:numPr>
        <w:tabs>
          <w:tab w:val="right" w:pos="9639"/>
        </w:tabs>
        <w:spacing w:before="0"/>
        <w:ind w:left="426" w:hanging="284"/>
        <w:jc w:val="both"/>
        <w:rPr>
          <w:rFonts w:ascii="Arial" w:hAnsi="Arial" w:cs="Arial"/>
          <w:color w:val="222222"/>
          <w:sz w:val="22"/>
          <w:szCs w:val="22"/>
        </w:rPr>
      </w:pPr>
      <w:r w:rsidRPr="00960CA2">
        <w:rPr>
          <w:rFonts w:ascii="Arial" w:hAnsi="Arial" w:cs="Arial"/>
          <w:color w:val="222222"/>
          <w:sz w:val="22"/>
          <w:szCs w:val="22"/>
        </w:rPr>
        <w:t>Har kommunen haft rätt intern och extern kompetens knuten till projektet för att följa upp ekonomi, planering och utförande?</w:t>
      </w:r>
    </w:p>
    <w:p w14:paraId="3DE02F61" w14:textId="77777777" w:rsidR="004C4DD2" w:rsidRPr="00960CA2" w:rsidRDefault="004C4DD2" w:rsidP="00960CA2">
      <w:pPr>
        <w:tabs>
          <w:tab w:val="right" w:pos="9639"/>
        </w:tabs>
        <w:spacing w:before="0"/>
        <w:ind w:left="426" w:hanging="284"/>
        <w:jc w:val="both"/>
        <w:rPr>
          <w:rFonts w:ascii="Arial" w:hAnsi="Arial" w:cs="Arial"/>
          <w:color w:val="222222"/>
          <w:sz w:val="10"/>
          <w:szCs w:val="10"/>
        </w:rPr>
      </w:pPr>
    </w:p>
    <w:p w14:paraId="5C8683B6" w14:textId="0DD58B9A" w:rsidR="004C4DD2" w:rsidRPr="00960CA2" w:rsidRDefault="004C4DD2" w:rsidP="00960CA2">
      <w:pPr>
        <w:pStyle w:val="Liststycke"/>
        <w:numPr>
          <w:ilvl w:val="0"/>
          <w:numId w:val="6"/>
        </w:numPr>
        <w:tabs>
          <w:tab w:val="right" w:pos="9639"/>
        </w:tabs>
        <w:spacing w:before="0"/>
        <w:ind w:left="426" w:hanging="284"/>
        <w:jc w:val="both"/>
        <w:rPr>
          <w:rFonts w:ascii="Arial" w:hAnsi="Arial" w:cs="Arial"/>
          <w:color w:val="222222"/>
          <w:sz w:val="22"/>
          <w:szCs w:val="22"/>
        </w:rPr>
      </w:pPr>
      <w:r w:rsidRPr="00960CA2">
        <w:rPr>
          <w:rFonts w:ascii="Arial" w:hAnsi="Arial" w:cs="Arial"/>
          <w:color w:val="222222"/>
          <w:sz w:val="22"/>
          <w:szCs w:val="22"/>
        </w:rPr>
        <w:t>Hur har kommunen hanterat processen med granskning och godkännande av projekteringen inom ramen för totalentreprenaden?</w:t>
      </w:r>
    </w:p>
    <w:p w14:paraId="2F77D767"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238F4EAE" w14:textId="77777777"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Förklaringen från den första entreprenören till det onormalt låga anbudet har i efterhand analyserats. Den saknar såväl konkreta siffror som kostnadsuppdelningar, och bygger i huvudsak på generella och obevisade påståenden. Trots detta valde kommunen att anta anbudet. I handlingarna som nämnden tog ställning till fanns ingen redovisning eller bedömning av denna förklaring, vilket försvårade möjligheten till en informerad prövning.</w:t>
      </w:r>
    </w:p>
    <w:p w14:paraId="4BCA2EE5"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2675DE2F" w14:textId="77777777"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Den totala kostnadsavvikelsen är alltså 148 procent. Inom näringslivet hade en sådan ökning sannolikt lett till en intern utredning vid redan 10 procents avvikelse. Här handlar det dessutom om en försening på fem år – utan att kommunen redovisat någon bedömning av de samhällsekonomiska konsekvenserna.</w:t>
      </w:r>
    </w:p>
    <w:p w14:paraId="12D9867F"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3E096C4F" w14:textId="77777777"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Vid beslutet om omtag redovisades att det återstod cirka 19 miljoner kronor för projektering, planering och kalkylering. Inom ramen för en totalentreprenad är det normalt att viss projektering sker parallellt med byggstart, men detta väcker ändå frågor om hur beställaren följt upp projekteringsläget och säkerställt att bygghandlingar stämplats i rätt tid. Särskilt i ljuset av att entreprenören i något skede föregick stämplingsprocessen och byggde moment på egen risk.</w:t>
      </w:r>
    </w:p>
    <w:p w14:paraId="0A8CF90E"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28D650D0" w14:textId="77777777" w:rsidR="004C4DD2" w:rsidRDefault="004C4DD2" w:rsidP="00960CA2">
      <w:pPr>
        <w:tabs>
          <w:tab w:val="right" w:pos="9639"/>
        </w:tabs>
        <w:spacing w:before="0"/>
        <w:jc w:val="both"/>
        <w:rPr>
          <w:rFonts w:ascii="Arial" w:hAnsi="Arial" w:cs="Arial"/>
          <w:color w:val="222222"/>
          <w:sz w:val="22"/>
          <w:szCs w:val="22"/>
        </w:rPr>
      </w:pPr>
    </w:p>
    <w:p w14:paraId="16031CB1" w14:textId="77777777" w:rsidR="00960CA2" w:rsidRDefault="00960CA2" w:rsidP="00960CA2">
      <w:pPr>
        <w:tabs>
          <w:tab w:val="right" w:pos="9639"/>
        </w:tabs>
        <w:spacing w:before="0"/>
        <w:jc w:val="both"/>
        <w:rPr>
          <w:rFonts w:ascii="Arial" w:hAnsi="Arial" w:cs="Arial"/>
          <w:color w:val="222222"/>
          <w:sz w:val="22"/>
          <w:szCs w:val="22"/>
        </w:rPr>
      </w:pPr>
    </w:p>
    <w:p w14:paraId="35FC8B47" w14:textId="77777777" w:rsidR="00960CA2" w:rsidRPr="00960CA2" w:rsidRDefault="00960CA2" w:rsidP="00960CA2">
      <w:pPr>
        <w:tabs>
          <w:tab w:val="right" w:pos="9639"/>
        </w:tabs>
        <w:spacing w:before="0"/>
        <w:jc w:val="both"/>
        <w:rPr>
          <w:rFonts w:ascii="Arial" w:hAnsi="Arial" w:cs="Arial"/>
          <w:color w:val="222222"/>
          <w:sz w:val="22"/>
          <w:szCs w:val="22"/>
        </w:rPr>
      </w:pPr>
    </w:p>
    <w:p w14:paraId="5D3B4635" w14:textId="2CCBFDDA"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Något som däremot kraftigt avviker från normalt förfarande är att den ursprungliga entreprenören valde att häva avtalet under pågående byggnation, vilket bidragit till omfattande merkostnader för kommunen. En juridisk process har inletts, men det är osäkert om detta kommer att leda till faktisk ersättning eftersom bolaget saknar tillgångar i Sverige och är en del av en större internationell koncern. Denna situation reser viktiga frågor om hur kommunen har hanterat riskbedömning, avtalsskrivning och säkerheter. En oberoende utredning bör belysa varför kommunen hamnade i ett så ofördelaktigt läge och vilka lärdomar som kan dras inför framtida upphandlingar.</w:t>
      </w:r>
    </w:p>
    <w:p w14:paraId="46013AF7"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383FFC29" w14:textId="77777777" w:rsidR="004C4DD2" w:rsidRPr="00960CA2" w:rsidRDefault="004C4DD2" w:rsidP="00960CA2">
      <w:pPr>
        <w:tabs>
          <w:tab w:val="right" w:pos="9639"/>
        </w:tabs>
        <w:spacing w:before="0"/>
        <w:ind w:left="142"/>
        <w:jc w:val="both"/>
        <w:rPr>
          <w:rFonts w:ascii="Arial" w:hAnsi="Arial" w:cs="Arial"/>
          <w:color w:val="222222"/>
          <w:sz w:val="22"/>
          <w:szCs w:val="22"/>
        </w:rPr>
      </w:pPr>
      <w:r w:rsidRPr="00960CA2">
        <w:rPr>
          <w:rFonts w:ascii="Arial" w:hAnsi="Arial" w:cs="Arial"/>
          <w:color w:val="222222"/>
          <w:sz w:val="22"/>
          <w:szCs w:val="22"/>
        </w:rPr>
        <w:t>Vi menar att den politiska majoriteten bär ett fullt ansvar för den utveckling som skett. Men för att lära av misstagen och förhindra att liknande situationer uppstår vid framtida investeringar krävs nu något mer än politiska efterhandskommentarer. Det behövs en oberoende haveriutredning.</w:t>
      </w:r>
    </w:p>
    <w:p w14:paraId="09B96FFD"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2A09EE24" w14:textId="35195675" w:rsidR="004C4DD2" w:rsidRPr="00960CA2" w:rsidRDefault="00960CA2" w:rsidP="00960CA2">
      <w:pPr>
        <w:tabs>
          <w:tab w:val="right" w:pos="9639"/>
        </w:tabs>
        <w:spacing w:before="0"/>
        <w:ind w:left="142"/>
        <w:jc w:val="both"/>
        <w:rPr>
          <w:rFonts w:ascii="Arial" w:hAnsi="Arial" w:cs="Arial"/>
          <w:b/>
          <w:bCs/>
          <w:color w:val="222222"/>
          <w:sz w:val="22"/>
          <w:szCs w:val="22"/>
        </w:rPr>
      </w:pPr>
      <w:r w:rsidRPr="00960CA2">
        <w:rPr>
          <w:rFonts w:ascii="Arial" w:hAnsi="Arial" w:cs="Arial"/>
          <w:b/>
          <w:bCs/>
          <w:color w:val="222222"/>
          <w:sz w:val="22"/>
          <w:szCs w:val="22"/>
        </w:rPr>
        <w:t>Med anledning av detta</w:t>
      </w:r>
      <w:r w:rsidR="004C4DD2" w:rsidRPr="00960CA2">
        <w:rPr>
          <w:rFonts w:ascii="Arial" w:hAnsi="Arial" w:cs="Arial"/>
          <w:b/>
          <w:bCs/>
          <w:color w:val="222222"/>
          <w:sz w:val="22"/>
          <w:szCs w:val="22"/>
        </w:rPr>
        <w:t xml:space="preserve"> föreslår </w:t>
      </w:r>
      <w:r w:rsidRPr="00960CA2">
        <w:rPr>
          <w:rFonts w:ascii="Arial" w:hAnsi="Arial" w:cs="Arial"/>
          <w:b/>
          <w:bCs/>
          <w:color w:val="222222"/>
          <w:sz w:val="22"/>
          <w:szCs w:val="22"/>
        </w:rPr>
        <w:t xml:space="preserve">vi </w:t>
      </w:r>
      <w:r w:rsidR="004C4DD2" w:rsidRPr="00960CA2">
        <w:rPr>
          <w:rFonts w:ascii="Arial" w:hAnsi="Arial" w:cs="Arial"/>
          <w:b/>
          <w:bCs/>
          <w:color w:val="222222"/>
          <w:sz w:val="22"/>
          <w:szCs w:val="22"/>
        </w:rPr>
        <w:t>att kommunfullmäktige beslutar:</w:t>
      </w:r>
    </w:p>
    <w:p w14:paraId="5A019B84" w14:textId="77777777" w:rsidR="004C4DD2" w:rsidRPr="00960CA2" w:rsidRDefault="004C4DD2" w:rsidP="00960CA2">
      <w:pPr>
        <w:tabs>
          <w:tab w:val="right" w:pos="9639"/>
        </w:tabs>
        <w:spacing w:before="0"/>
        <w:ind w:left="142"/>
        <w:jc w:val="both"/>
        <w:rPr>
          <w:rFonts w:ascii="Arial" w:hAnsi="Arial" w:cs="Arial"/>
          <w:color w:val="222222"/>
          <w:sz w:val="22"/>
          <w:szCs w:val="22"/>
        </w:rPr>
      </w:pPr>
    </w:p>
    <w:p w14:paraId="0AB7F8E3" w14:textId="3EE46A15" w:rsidR="004C4DD2" w:rsidRPr="00960CA2" w:rsidRDefault="004C4DD2" w:rsidP="00960CA2">
      <w:pPr>
        <w:tabs>
          <w:tab w:val="left" w:pos="567"/>
          <w:tab w:val="right" w:pos="9639"/>
        </w:tabs>
        <w:spacing w:before="0"/>
        <w:ind w:left="567" w:hanging="425"/>
        <w:jc w:val="both"/>
        <w:rPr>
          <w:rFonts w:ascii="Arial" w:hAnsi="Arial" w:cs="Arial"/>
          <w:color w:val="222222"/>
          <w:sz w:val="22"/>
          <w:szCs w:val="22"/>
        </w:rPr>
      </w:pPr>
      <w:r w:rsidRPr="00960CA2">
        <w:rPr>
          <w:rFonts w:ascii="Arial" w:hAnsi="Arial" w:cs="Arial"/>
          <w:b/>
          <w:bCs/>
          <w:color w:val="222222"/>
          <w:sz w:val="22"/>
          <w:szCs w:val="22"/>
        </w:rPr>
        <w:t>Att</w:t>
      </w:r>
      <w:r w:rsidRPr="00960CA2">
        <w:rPr>
          <w:rFonts w:ascii="Arial" w:hAnsi="Arial" w:cs="Arial"/>
          <w:color w:val="222222"/>
          <w:sz w:val="22"/>
          <w:szCs w:val="22"/>
        </w:rPr>
        <w:t xml:space="preserve"> </w:t>
      </w:r>
      <w:r w:rsidR="00960CA2" w:rsidRPr="00960CA2">
        <w:rPr>
          <w:rFonts w:ascii="Arial" w:hAnsi="Arial" w:cs="Arial"/>
          <w:color w:val="222222"/>
          <w:sz w:val="22"/>
          <w:szCs w:val="22"/>
        </w:rPr>
        <w:tab/>
        <w:t xml:space="preserve">kommunstyrelsen ges i uppdrag att </w:t>
      </w:r>
      <w:r w:rsidRPr="00960CA2">
        <w:rPr>
          <w:rFonts w:ascii="Arial" w:hAnsi="Arial" w:cs="Arial"/>
          <w:color w:val="222222"/>
          <w:sz w:val="22"/>
          <w:szCs w:val="22"/>
        </w:rPr>
        <w:t>tillsätta en oberoende haveriutredning av Karlgårdsbrons planering, upphandling, genomförande och kostnadsutveckling.</w:t>
      </w:r>
    </w:p>
    <w:p w14:paraId="4ED3DF73" w14:textId="77777777" w:rsidR="004C4DD2" w:rsidRDefault="004C4DD2" w:rsidP="00960CA2">
      <w:pPr>
        <w:tabs>
          <w:tab w:val="left" w:pos="567"/>
          <w:tab w:val="right" w:pos="9639"/>
        </w:tabs>
        <w:spacing w:before="0"/>
        <w:ind w:left="142"/>
        <w:jc w:val="both"/>
        <w:rPr>
          <w:rFonts w:ascii="Arial" w:hAnsi="Arial" w:cs="Arial"/>
          <w:color w:val="222222"/>
          <w:sz w:val="22"/>
          <w:szCs w:val="22"/>
        </w:rPr>
      </w:pPr>
    </w:p>
    <w:p w14:paraId="070F7C1E" w14:textId="5B64DDCC" w:rsidR="00CF2BD5" w:rsidRDefault="00CF2BD5" w:rsidP="00960CA2">
      <w:pPr>
        <w:tabs>
          <w:tab w:val="left" w:pos="567"/>
          <w:tab w:val="right" w:pos="9639"/>
        </w:tabs>
        <w:spacing w:before="0"/>
        <w:ind w:left="142"/>
        <w:jc w:val="both"/>
        <w:rPr>
          <w:rFonts w:ascii="Arial" w:hAnsi="Arial" w:cs="Arial"/>
          <w:color w:val="222222"/>
          <w:sz w:val="22"/>
          <w:szCs w:val="22"/>
        </w:rPr>
      </w:pPr>
      <w:r w:rsidRPr="00CF2BD5">
        <w:rPr>
          <w:rFonts w:ascii="Arial" w:hAnsi="Arial" w:cs="Arial"/>
          <w:b/>
          <w:bCs/>
          <w:color w:val="222222"/>
          <w:sz w:val="22"/>
          <w:szCs w:val="22"/>
        </w:rPr>
        <w:t>Att</w:t>
      </w:r>
      <w:r>
        <w:rPr>
          <w:rFonts w:ascii="Arial" w:hAnsi="Arial" w:cs="Arial"/>
          <w:color w:val="222222"/>
          <w:sz w:val="22"/>
          <w:szCs w:val="22"/>
        </w:rPr>
        <w:tab/>
      </w:r>
      <w:r w:rsidRPr="00CF2BD5">
        <w:rPr>
          <w:rFonts w:ascii="Arial" w:hAnsi="Arial" w:cs="Arial"/>
          <w:color w:val="222222"/>
          <w:sz w:val="22"/>
          <w:szCs w:val="22"/>
        </w:rPr>
        <w:t>utredningen även ska inkludera en översyn av den politiska hanteringen av projektet.</w:t>
      </w:r>
    </w:p>
    <w:p w14:paraId="79C8AE12" w14:textId="77777777" w:rsidR="00CF2BD5" w:rsidRPr="00960CA2" w:rsidRDefault="00CF2BD5" w:rsidP="00960CA2">
      <w:pPr>
        <w:tabs>
          <w:tab w:val="left" w:pos="567"/>
          <w:tab w:val="right" w:pos="9639"/>
        </w:tabs>
        <w:spacing w:before="0"/>
        <w:ind w:left="142"/>
        <w:jc w:val="both"/>
        <w:rPr>
          <w:rFonts w:ascii="Arial" w:hAnsi="Arial" w:cs="Arial"/>
          <w:color w:val="222222"/>
          <w:sz w:val="22"/>
          <w:szCs w:val="22"/>
        </w:rPr>
      </w:pPr>
    </w:p>
    <w:p w14:paraId="263F372F" w14:textId="479DBF4A" w:rsidR="00D70C05" w:rsidRPr="00960CA2" w:rsidRDefault="004C4DD2" w:rsidP="00960CA2">
      <w:pPr>
        <w:tabs>
          <w:tab w:val="left" w:pos="567"/>
          <w:tab w:val="right" w:pos="9639"/>
        </w:tabs>
        <w:spacing w:before="0"/>
        <w:ind w:left="567" w:hanging="425"/>
        <w:jc w:val="both"/>
        <w:rPr>
          <w:rFonts w:ascii="Arial" w:hAnsi="Arial" w:cs="Arial"/>
          <w:color w:val="222222"/>
          <w:sz w:val="22"/>
          <w:szCs w:val="22"/>
        </w:rPr>
      </w:pPr>
      <w:r w:rsidRPr="00960CA2">
        <w:rPr>
          <w:rFonts w:ascii="Arial" w:hAnsi="Arial" w:cs="Arial"/>
          <w:b/>
          <w:bCs/>
          <w:color w:val="222222"/>
          <w:sz w:val="22"/>
          <w:szCs w:val="22"/>
        </w:rPr>
        <w:t>Att</w:t>
      </w:r>
      <w:r w:rsidRPr="00960CA2">
        <w:rPr>
          <w:rFonts w:ascii="Arial" w:hAnsi="Arial" w:cs="Arial"/>
          <w:color w:val="222222"/>
          <w:sz w:val="22"/>
          <w:szCs w:val="22"/>
        </w:rPr>
        <w:t xml:space="preserve"> </w:t>
      </w:r>
      <w:r w:rsidR="00960CA2" w:rsidRPr="00960CA2">
        <w:rPr>
          <w:rFonts w:ascii="Arial" w:hAnsi="Arial" w:cs="Arial"/>
          <w:color w:val="222222"/>
          <w:sz w:val="22"/>
          <w:szCs w:val="22"/>
        </w:rPr>
        <w:tab/>
      </w:r>
      <w:r w:rsidRPr="00960CA2">
        <w:rPr>
          <w:rFonts w:ascii="Arial" w:hAnsi="Arial" w:cs="Arial"/>
          <w:color w:val="222222"/>
          <w:sz w:val="22"/>
          <w:szCs w:val="22"/>
        </w:rPr>
        <w:t>utredningen ska ge rekommendationer för hur Skellefteå kommun i framtiden kan säkerställa bättre styrning, kontroll och transparens i stora investeringar.</w:t>
      </w:r>
    </w:p>
    <w:p w14:paraId="1CBC08FC" w14:textId="77777777" w:rsidR="006A2AA1" w:rsidRPr="00960CA2" w:rsidRDefault="006A2AA1" w:rsidP="00960CA2">
      <w:pPr>
        <w:spacing w:before="0"/>
        <w:ind w:left="142"/>
        <w:jc w:val="both"/>
        <w:rPr>
          <w:rFonts w:ascii="Arial" w:hAnsi="Arial" w:cs="Arial"/>
          <w:sz w:val="22"/>
          <w:szCs w:val="22"/>
        </w:rPr>
      </w:pPr>
    </w:p>
    <w:p w14:paraId="7C275929" w14:textId="77777777" w:rsidR="00960CA2" w:rsidRPr="00960CA2" w:rsidRDefault="00960CA2" w:rsidP="00960CA2">
      <w:pPr>
        <w:spacing w:before="0"/>
        <w:ind w:left="142"/>
        <w:jc w:val="both"/>
        <w:rPr>
          <w:rFonts w:ascii="Arial" w:hAnsi="Arial" w:cs="Arial"/>
          <w:sz w:val="22"/>
          <w:szCs w:val="22"/>
        </w:rPr>
      </w:pPr>
    </w:p>
    <w:p w14:paraId="35F7B005" w14:textId="77777777" w:rsidR="00960CA2" w:rsidRPr="00960CA2" w:rsidRDefault="00960CA2" w:rsidP="00960CA2">
      <w:pPr>
        <w:spacing w:before="0"/>
        <w:ind w:left="142"/>
        <w:jc w:val="both"/>
        <w:rPr>
          <w:rFonts w:ascii="Arial" w:hAnsi="Arial" w:cs="Arial"/>
          <w:sz w:val="22"/>
          <w:szCs w:val="22"/>
        </w:rPr>
      </w:pPr>
    </w:p>
    <w:p w14:paraId="5E4D709C" w14:textId="77777777" w:rsidR="00960CA2" w:rsidRPr="00960CA2" w:rsidRDefault="00960CA2" w:rsidP="00960CA2">
      <w:pPr>
        <w:spacing w:before="0"/>
        <w:ind w:left="142"/>
        <w:jc w:val="both"/>
        <w:rPr>
          <w:rFonts w:ascii="Arial" w:hAnsi="Arial" w:cs="Arial"/>
          <w:sz w:val="22"/>
          <w:szCs w:val="22"/>
        </w:rPr>
      </w:pPr>
    </w:p>
    <w:tbl>
      <w:tblPr>
        <w:tblW w:w="9747" w:type="dxa"/>
        <w:tblLook w:val="04A0" w:firstRow="1" w:lastRow="0" w:firstColumn="1" w:lastColumn="0" w:noHBand="0" w:noVBand="1"/>
      </w:tblPr>
      <w:tblGrid>
        <w:gridCol w:w="2802"/>
        <w:gridCol w:w="2126"/>
        <w:gridCol w:w="2551"/>
        <w:gridCol w:w="2268"/>
      </w:tblGrid>
      <w:tr w:rsidR="00E2586E" w:rsidRPr="00960CA2" w14:paraId="664978A2" w14:textId="77777777" w:rsidTr="007C4A9F">
        <w:tc>
          <w:tcPr>
            <w:tcW w:w="2802" w:type="dxa"/>
            <w:shd w:val="clear" w:color="auto" w:fill="auto"/>
          </w:tcPr>
          <w:p w14:paraId="74B1744D" w14:textId="77777777" w:rsidR="00E2586E" w:rsidRPr="00960CA2" w:rsidRDefault="00E2586E" w:rsidP="00960CA2">
            <w:pPr>
              <w:spacing w:before="0"/>
              <w:ind w:left="142"/>
              <w:rPr>
                <w:rFonts w:ascii="Arial" w:hAnsi="Arial" w:cs="Arial"/>
                <w:b/>
                <w:sz w:val="22"/>
                <w:szCs w:val="22"/>
              </w:rPr>
            </w:pPr>
            <w:r w:rsidRPr="00960CA2">
              <w:rPr>
                <w:rFonts w:ascii="Arial" w:hAnsi="Arial" w:cs="Arial"/>
                <w:b/>
                <w:sz w:val="22"/>
                <w:szCs w:val="22"/>
              </w:rPr>
              <w:t>Andreas Löwenhöök</w:t>
            </w:r>
          </w:p>
          <w:p w14:paraId="56C7961F" w14:textId="77777777" w:rsidR="00E2586E" w:rsidRPr="00960CA2" w:rsidRDefault="00E2586E" w:rsidP="00960CA2">
            <w:pPr>
              <w:spacing w:before="0"/>
              <w:ind w:left="142"/>
              <w:rPr>
                <w:rFonts w:ascii="Arial" w:hAnsi="Arial" w:cs="Arial"/>
                <w:sz w:val="22"/>
                <w:szCs w:val="22"/>
              </w:rPr>
            </w:pPr>
            <w:r w:rsidRPr="00960CA2">
              <w:rPr>
                <w:rFonts w:ascii="Arial" w:hAnsi="Arial" w:cs="Arial"/>
                <w:sz w:val="22"/>
                <w:szCs w:val="22"/>
              </w:rPr>
              <w:t>Moderaterna</w:t>
            </w:r>
          </w:p>
        </w:tc>
        <w:tc>
          <w:tcPr>
            <w:tcW w:w="2126" w:type="dxa"/>
            <w:shd w:val="clear" w:color="auto" w:fill="auto"/>
          </w:tcPr>
          <w:p w14:paraId="41D70FAF" w14:textId="77777777" w:rsidR="00E2586E" w:rsidRPr="00960CA2" w:rsidRDefault="00E2586E" w:rsidP="00960CA2">
            <w:pPr>
              <w:spacing w:before="0"/>
              <w:ind w:left="142"/>
              <w:rPr>
                <w:rFonts w:ascii="Arial" w:hAnsi="Arial" w:cs="Arial"/>
                <w:sz w:val="22"/>
                <w:szCs w:val="22"/>
              </w:rPr>
            </w:pPr>
            <w:r w:rsidRPr="00960CA2">
              <w:rPr>
                <w:rFonts w:ascii="Arial" w:hAnsi="Arial" w:cs="Arial"/>
                <w:b/>
                <w:sz w:val="22"/>
                <w:szCs w:val="22"/>
              </w:rPr>
              <w:t>Carina Sundbom</w:t>
            </w:r>
            <w:r w:rsidRPr="00960CA2">
              <w:rPr>
                <w:rFonts w:ascii="Arial" w:hAnsi="Arial" w:cs="Arial"/>
                <w:sz w:val="22"/>
                <w:szCs w:val="22"/>
              </w:rPr>
              <w:t xml:space="preserve"> Centerpartiet</w:t>
            </w:r>
          </w:p>
        </w:tc>
        <w:tc>
          <w:tcPr>
            <w:tcW w:w="2551" w:type="dxa"/>
            <w:shd w:val="clear" w:color="auto" w:fill="auto"/>
          </w:tcPr>
          <w:p w14:paraId="7281800B" w14:textId="68755ED9" w:rsidR="00E2586E" w:rsidRPr="00960CA2" w:rsidRDefault="00FD3719" w:rsidP="00960CA2">
            <w:pPr>
              <w:spacing w:before="0"/>
              <w:ind w:left="142"/>
              <w:rPr>
                <w:rFonts w:ascii="Arial" w:hAnsi="Arial" w:cs="Arial"/>
                <w:b/>
                <w:sz w:val="22"/>
                <w:szCs w:val="22"/>
              </w:rPr>
            </w:pPr>
            <w:r w:rsidRPr="00960CA2">
              <w:rPr>
                <w:rFonts w:ascii="Arial" w:hAnsi="Arial" w:cs="Arial"/>
                <w:b/>
                <w:sz w:val="22"/>
                <w:szCs w:val="22"/>
              </w:rPr>
              <w:t>Per Boström</w:t>
            </w:r>
          </w:p>
          <w:p w14:paraId="6D1A0D2C" w14:textId="151C30DC" w:rsidR="00E2586E" w:rsidRPr="00960CA2" w:rsidRDefault="00FD3719" w:rsidP="00960CA2">
            <w:pPr>
              <w:spacing w:before="0"/>
              <w:ind w:left="142"/>
              <w:rPr>
                <w:rFonts w:ascii="Arial" w:hAnsi="Arial" w:cs="Arial"/>
                <w:b/>
                <w:sz w:val="22"/>
                <w:szCs w:val="22"/>
              </w:rPr>
            </w:pPr>
            <w:r w:rsidRPr="00960CA2">
              <w:rPr>
                <w:rFonts w:ascii="Arial" w:hAnsi="Arial" w:cs="Arial"/>
                <w:sz w:val="22"/>
                <w:szCs w:val="22"/>
              </w:rPr>
              <w:t>Kristdemokraterna</w:t>
            </w:r>
          </w:p>
        </w:tc>
        <w:tc>
          <w:tcPr>
            <w:tcW w:w="2268" w:type="dxa"/>
            <w:shd w:val="clear" w:color="auto" w:fill="auto"/>
          </w:tcPr>
          <w:p w14:paraId="1B782F79" w14:textId="0AF54575" w:rsidR="00E2586E" w:rsidRPr="00960CA2" w:rsidRDefault="00FD3719" w:rsidP="00960CA2">
            <w:pPr>
              <w:spacing w:before="0"/>
              <w:ind w:left="142"/>
              <w:rPr>
                <w:rFonts w:ascii="Arial" w:hAnsi="Arial" w:cs="Arial"/>
                <w:b/>
                <w:sz w:val="22"/>
                <w:szCs w:val="22"/>
              </w:rPr>
            </w:pPr>
            <w:r w:rsidRPr="00960CA2">
              <w:rPr>
                <w:rFonts w:ascii="Arial" w:hAnsi="Arial" w:cs="Arial"/>
                <w:b/>
                <w:sz w:val="22"/>
                <w:szCs w:val="22"/>
              </w:rPr>
              <w:t>Christina Soldan</w:t>
            </w:r>
          </w:p>
          <w:p w14:paraId="6CC1EA61" w14:textId="7EA08008" w:rsidR="00E2586E" w:rsidRPr="00960CA2" w:rsidRDefault="00FD3719" w:rsidP="00960CA2">
            <w:pPr>
              <w:spacing w:before="0"/>
              <w:ind w:left="142"/>
              <w:rPr>
                <w:rFonts w:ascii="Arial" w:hAnsi="Arial" w:cs="Arial"/>
                <w:sz w:val="22"/>
                <w:szCs w:val="22"/>
              </w:rPr>
            </w:pPr>
            <w:r w:rsidRPr="00960CA2">
              <w:rPr>
                <w:rFonts w:ascii="Arial" w:hAnsi="Arial" w:cs="Arial"/>
                <w:sz w:val="22"/>
                <w:szCs w:val="22"/>
              </w:rPr>
              <w:t>Liberalerna</w:t>
            </w:r>
          </w:p>
        </w:tc>
      </w:tr>
    </w:tbl>
    <w:p w14:paraId="2BA5C02F" w14:textId="77777777" w:rsidR="007A19FE" w:rsidRPr="00960CA2" w:rsidRDefault="007A19FE" w:rsidP="00960CA2">
      <w:pPr>
        <w:spacing w:before="0"/>
        <w:ind w:left="142"/>
        <w:jc w:val="both"/>
        <w:rPr>
          <w:rFonts w:ascii="Arial" w:hAnsi="Arial" w:cs="Arial"/>
          <w:sz w:val="22"/>
          <w:szCs w:val="22"/>
        </w:rPr>
      </w:pPr>
    </w:p>
    <w:sectPr w:rsidR="007A19FE" w:rsidRPr="00960CA2" w:rsidSect="00960CA2">
      <w:headerReference w:type="default" r:id="rId8"/>
      <w:footerReference w:type="default" r:id="rId9"/>
      <w:headerReference w:type="first" r:id="rId10"/>
      <w:footerReference w:type="first" r:id="rId11"/>
      <w:pgSz w:w="11906" w:h="16838" w:code="9"/>
      <w:pgMar w:top="1276" w:right="1133" w:bottom="1134" w:left="1134" w:header="720" w:footer="176" w:gutter="0"/>
      <w:cols w:space="2268" w:equalWidth="0">
        <w:col w:w="9639"/>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4872" w14:textId="77777777" w:rsidR="0007599F" w:rsidRDefault="0007599F">
      <w:r>
        <w:separator/>
      </w:r>
    </w:p>
  </w:endnote>
  <w:endnote w:type="continuationSeparator" w:id="0">
    <w:p w14:paraId="3BF8F9C0" w14:textId="77777777" w:rsidR="0007599F" w:rsidRDefault="0007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ForAlliansen">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5" w:type="dxa"/>
      <w:tblInd w:w="-781" w:type="dxa"/>
      <w:tblLayout w:type="fixed"/>
      <w:tblCellMar>
        <w:left w:w="70" w:type="dxa"/>
        <w:right w:w="70" w:type="dxa"/>
      </w:tblCellMar>
      <w:tblLook w:val="0000" w:firstRow="0" w:lastRow="0" w:firstColumn="0" w:lastColumn="0" w:noHBand="0" w:noVBand="0"/>
    </w:tblPr>
    <w:tblGrid>
      <w:gridCol w:w="6521"/>
      <w:gridCol w:w="3809"/>
      <w:gridCol w:w="165"/>
    </w:tblGrid>
    <w:tr w:rsidR="00960CA2" w:rsidRPr="003D022A" w14:paraId="0A497445" w14:textId="77777777" w:rsidTr="000763FA">
      <w:tc>
        <w:tcPr>
          <w:tcW w:w="6521" w:type="dxa"/>
        </w:tcPr>
        <w:p w14:paraId="210AEE4A" w14:textId="77777777" w:rsidR="00960CA2" w:rsidRPr="003D022A" w:rsidRDefault="00960CA2" w:rsidP="00960CA2">
          <w:pPr>
            <w:pStyle w:val="Sidfot"/>
            <w:ind w:left="781"/>
            <w:rPr>
              <w:rFonts w:ascii="CourierForAlliansen" w:hAnsi="CourierForAlliansen"/>
            </w:rPr>
          </w:pPr>
          <w:r>
            <w:rPr>
              <w:rFonts w:ascii="CourierForAlliansen" w:hAnsi="CourierForAlliansen"/>
              <w:noProof/>
            </w:rPr>
            <w:drawing>
              <wp:anchor distT="0" distB="0" distL="114300" distR="114300" simplePos="0" relativeHeight="251659264" behindDoc="1" locked="0" layoutInCell="1" allowOverlap="1" wp14:anchorId="3EFE3CDB" wp14:editId="1F2EA111">
                <wp:simplePos x="0" y="0"/>
                <wp:positionH relativeFrom="column">
                  <wp:posOffset>493395</wp:posOffset>
                </wp:positionH>
                <wp:positionV relativeFrom="paragraph">
                  <wp:posOffset>149225</wp:posOffset>
                </wp:positionV>
                <wp:extent cx="3218400" cy="684000"/>
                <wp:effectExtent l="0" t="0" r="0" b="1905"/>
                <wp:wrapTight wrapText="bothSides">
                  <wp:wrapPolygon edited="0">
                    <wp:start x="1406" y="0"/>
                    <wp:lineTo x="511" y="4212"/>
                    <wp:lineTo x="0" y="7822"/>
                    <wp:lineTo x="0" y="13838"/>
                    <wp:lineTo x="1023" y="20457"/>
                    <wp:lineTo x="1406" y="21058"/>
                    <wp:lineTo x="7160" y="21058"/>
                    <wp:lineTo x="8311" y="21058"/>
                    <wp:lineTo x="16238" y="21058"/>
                    <wp:lineTo x="20969" y="20457"/>
                    <wp:lineTo x="21225" y="12033"/>
                    <wp:lineTo x="19563" y="10830"/>
                    <wp:lineTo x="19818" y="3610"/>
                    <wp:lineTo x="19051" y="1805"/>
                    <wp:lineTo x="16110" y="0"/>
                    <wp:lineTo x="1406" y="0"/>
                  </wp:wrapPolygon>
                </wp:wrapTight>
                <wp:docPr id="1316743953" name="Bildobjekt 1316743953" descr="En bild som visar text, Teckensnitt, Grafik,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43953" name="Bildobjekt 1316743953" descr="En bild som visar text, Teckensnitt, Grafik, skärmbild&#10;&#10;AI-genererat innehåll kan vara felaktigt."/>
                        <pic:cNvPicPr/>
                      </pic:nvPicPr>
                      <pic:blipFill rotWithShape="1">
                        <a:blip r:embed="rId1">
                          <a:extLst>
                            <a:ext uri="{28A0092B-C50C-407E-A947-70E740481C1C}">
                              <a14:useLocalDpi xmlns:a14="http://schemas.microsoft.com/office/drawing/2010/main" val="0"/>
                            </a:ext>
                          </a:extLst>
                        </a:blip>
                        <a:srcRect t="61742"/>
                        <a:stretch/>
                      </pic:blipFill>
                      <pic:spPr bwMode="auto">
                        <a:xfrm>
                          <a:off x="0" y="0"/>
                          <a:ext cx="3218400" cy="68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09" w:type="dxa"/>
        </w:tcPr>
        <w:p w14:paraId="3B643F9C" w14:textId="77777777" w:rsidR="00960CA2" w:rsidRPr="00FE322A" w:rsidRDefault="00960CA2" w:rsidP="00960CA2">
          <w:pPr>
            <w:pStyle w:val="Sidfot"/>
            <w:jc w:val="right"/>
            <w:rPr>
              <w:rFonts w:ascii="CourierForAlliansen" w:hAnsi="CourierForAlliansen"/>
              <w:sz w:val="54"/>
            </w:rPr>
          </w:pPr>
          <w:r>
            <w:rPr>
              <w:rFonts w:ascii="CourierForAlliansen" w:hAnsi="CourierForAlliansen"/>
              <w:noProof/>
            </w:rPr>
            <w:drawing>
              <wp:anchor distT="0" distB="0" distL="114300" distR="114300" simplePos="0" relativeHeight="251660288" behindDoc="0" locked="0" layoutInCell="1" allowOverlap="1" wp14:anchorId="2B01B821" wp14:editId="5AE5BBE7">
                <wp:simplePos x="0" y="0"/>
                <wp:positionH relativeFrom="column">
                  <wp:posOffset>-27940</wp:posOffset>
                </wp:positionH>
                <wp:positionV relativeFrom="paragraph">
                  <wp:posOffset>149225</wp:posOffset>
                </wp:positionV>
                <wp:extent cx="2127250" cy="683895"/>
                <wp:effectExtent l="0" t="0" r="0" b="1905"/>
                <wp:wrapNone/>
                <wp:docPr id="1526381272" name="Bildobjekt 1526381272" descr="En bild som visar text, Teckensnitt, Grafik,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81272" name="Bildobjekt 1526381272" descr="En bild som visar text, Teckensnitt, Grafik, skärmbild&#10;&#10;AI-genererat innehåll kan vara felaktigt."/>
                        <pic:cNvPicPr/>
                      </pic:nvPicPr>
                      <pic:blipFill rotWithShape="1">
                        <a:blip r:embed="rId1">
                          <a:extLst>
                            <a:ext uri="{28A0092B-C50C-407E-A947-70E740481C1C}">
                              <a14:useLocalDpi xmlns:a14="http://schemas.microsoft.com/office/drawing/2010/main" val="0"/>
                            </a:ext>
                          </a:extLst>
                        </a:blip>
                        <a:srcRect b="42111"/>
                        <a:stretch/>
                      </pic:blipFill>
                      <pic:spPr bwMode="auto">
                        <a:xfrm>
                          <a:off x="0" y="0"/>
                          <a:ext cx="2127250" cy="683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5" w:type="dxa"/>
        </w:tcPr>
        <w:p w14:paraId="0FE91C64" w14:textId="77777777" w:rsidR="00960CA2" w:rsidRPr="003D022A" w:rsidRDefault="00960CA2" w:rsidP="00960CA2">
          <w:pPr>
            <w:pStyle w:val="Sidfot"/>
            <w:rPr>
              <w:rFonts w:ascii="CourierForAlliansen" w:hAnsi="CourierForAlliansen"/>
              <w:sz w:val="22"/>
              <w:szCs w:val="22"/>
            </w:rPr>
          </w:pPr>
        </w:p>
        <w:p w14:paraId="7CF2DE33" w14:textId="77777777" w:rsidR="00960CA2" w:rsidRDefault="00960CA2" w:rsidP="00960CA2">
          <w:pPr>
            <w:pStyle w:val="Sidfot"/>
            <w:jc w:val="right"/>
            <w:rPr>
              <w:rFonts w:ascii="CourierForAlliansen" w:hAnsi="CourierForAlliansen"/>
              <w:sz w:val="22"/>
              <w:szCs w:val="22"/>
            </w:rPr>
          </w:pPr>
          <w:r w:rsidRPr="004C4DD2">
            <w:rPr>
              <w:rFonts w:ascii="CourierForAlliansen" w:hAnsi="CourierForAlliansen"/>
              <w:noProof/>
              <w:sz w:val="54"/>
            </w:rPr>
            <mc:AlternateContent>
              <mc:Choice Requires="wps">
                <w:drawing>
                  <wp:anchor distT="45720" distB="45720" distL="114300" distR="114300" simplePos="0" relativeHeight="251661312" behindDoc="0" locked="0" layoutInCell="1" allowOverlap="1" wp14:anchorId="6372EAA8" wp14:editId="4AA10AF8">
                    <wp:simplePos x="0" y="0"/>
                    <wp:positionH relativeFrom="column">
                      <wp:posOffset>-313055</wp:posOffset>
                    </wp:positionH>
                    <wp:positionV relativeFrom="paragraph">
                      <wp:posOffset>314960</wp:posOffset>
                    </wp:positionV>
                    <wp:extent cx="466725" cy="29527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5275"/>
                            </a:xfrm>
                            <a:prstGeom prst="rect">
                              <a:avLst/>
                            </a:prstGeom>
                            <a:noFill/>
                            <a:ln w="9525">
                              <a:noFill/>
                              <a:miter lim="800000"/>
                              <a:headEnd/>
                              <a:tailEnd/>
                            </a:ln>
                          </wps:spPr>
                          <wps:txbx>
                            <w:txbxContent>
                              <w:p w14:paraId="78103695" w14:textId="77777777" w:rsidR="00960CA2" w:rsidRPr="00960CA2" w:rsidRDefault="00960CA2" w:rsidP="00960CA2">
                                <w:pPr>
                                  <w:spacing w:before="0"/>
                                  <w:rPr>
                                    <w:rFonts w:ascii="Arial" w:hAnsi="Arial" w:cs="Arial"/>
                                    <w:sz w:val="20"/>
                                    <w:szCs w:val="20"/>
                                  </w:rPr>
                                </w:pPr>
                                <w:r w:rsidRPr="00960CA2">
                                  <w:rPr>
                                    <w:rFonts w:ascii="Arial" w:hAnsi="Arial" w:cs="Arial"/>
                                    <w:sz w:val="20"/>
                                    <w:szCs w:val="20"/>
                                  </w:rPr>
                                  <w:fldChar w:fldCharType="begin"/>
                                </w:r>
                                <w:r w:rsidRPr="00960CA2">
                                  <w:rPr>
                                    <w:rFonts w:ascii="Arial" w:hAnsi="Arial" w:cs="Arial"/>
                                    <w:sz w:val="20"/>
                                    <w:szCs w:val="20"/>
                                  </w:rPr>
                                  <w:instrText>PAGE   \* MERGEFORMAT</w:instrText>
                                </w:r>
                                <w:r w:rsidRPr="00960CA2">
                                  <w:rPr>
                                    <w:rFonts w:ascii="Arial" w:hAnsi="Arial" w:cs="Arial"/>
                                    <w:sz w:val="20"/>
                                    <w:szCs w:val="20"/>
                                  </w:rPr>
                                  <w:fldChar w:fldCharType="separate"/>
                                </w:r>
                                <w:r w:rsidRPr="00960CA2">
                                  <w:rPr>
                                    <w:rFonts w:ascii="Arial" w:hAnsi="Arial" w:cs="Arial"/>
                                    <w:sz w:val="20"/>
                                    <w:szCs w:val="20"/>
                                  </w:rPr>
                                  <w:t>1</w:t>
                                </w:r>
                                <w:r w:rsidRPr="00960CA2">
                                  <w:rPr>
                                    <w:rFonts w:ascii="Arial" w:hAnsi="Arial" w:cs="Arial"/>
                                    <w:sz w:val="20"/>
                                    <w:szCs w:val="20"/>
                                  </w:rPr>
                                  <w:fldChar w:fldCharType="end"/>
                                </w:r>
                                <w:r w:rsidRPr="00960CA2">
                                  <w:rPr>
                                    <w:rFonts w:ascii="Arial" w:hAnsi="Arial" w:cs="Arial"/>
                                    <w:sz w:val="20"/>
                                    <w:szCs w:val="20"/>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2EAA8" id="_x0000_t202" coordsize="21600,21600" o:spt="202" path="m,l,21600r21600,l21600,xe">
                    <v:stroke joinstyle="miter"/>
                    <v:path gradientshapeok="t" o:connecttype="rect"/>
                  </v:shapetype>
                  <v:shape id="Textruta 2" o:spid="_x0000_s1026" type="#_x0000_t202" style="position:absolute;left:0;text-align:left;margin-left:-24.65pt;margin-top:24.8pt;width:36.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" filled="f" stroked="f">
                    <v:textbox>
                      <w:txbxContent>
                        <w:p w14:paraId="78103695" w14:textId="77777777" w:rsidR="00960CA2" w:rsidRPr="00960CA2" w:rsidRDefault="00960CA2" w:rsidP="00960CA2">
                          <w:pPr>
                            <w:spacing w:before="0"/>
                            <w:rPr>
                              <w:rFonts w:ascii="Arial" w:hAnsi="Arial" w:cs="Arial"/>
                              <w:sz w:val="20"/>
                              <w:szCs w:val="20"/>
                            </w:rPr>
                          </w:pPr>
                          <w:r w:rsidRPr="00960CA2">
                            <w:rPr>
                              <w:rFonts w:ascii="Arial" w:hAnsi="Arial" w:cs="Arial"/>
                              <w:sz w:val="20"/>
                              <w:szCs w:val="20"/>
                            </w:rPr>
                            <w:fldChar w:fldCharType="begin"/>
                          </w:r>
                          <w:r w:rsidRPr="00960CA2">
                            <w:rPr>
                              <w:rFonts w:ascii="Arial" w:hAnsi="Arial" w:cs="Arial"/>
                              <w:sz w:val="20"/>
                              <w:szCs w:val="20"/>
                            </w:rPr>
                            <w:instrText>PAGE   \* MERGEFORMAT</w:instrText>
                          </w:r>
                          <w:r w:rsidRPr="00960CA2">
                            <w:rPr>
                              <w:rFonts w:ascii="Arial" w:hAnsi="Arial" w:cs="Arial"/>
                              <w:sz w:val="20"/>
                              <w:szCs w:val="20"/>
                            </w:rPr>
                            <w:fldChar w:fldCharType="separate"/>
                          </w:r>
                          <w:r w:rsidRPr="00960CA2">
                            <w:rPr>
                              <w:rFonts w:ascii="Arial" w:hAnsi="Arial" w:cs="Arial"/>
                              <w:sz w:val="20"/>
                              <w:szCs w:val="20"/>
                            </w:rPr>
                            <w:t>1</w:t>
                          </w:r>
                          <w:r w:rsidRPr="00960CA2">
                            <w:rPr>
                              <w:rFonts w:ascii="Arial" w:hAnsi="Arial" w:cs="Arial"/>
                              <w:sz w:val="20"/>
                              <w:szCs w:val="20"/>
                            </w:rPr>
                            <w:fldChar w:fldCharType="end"/>
                          </w:r>
                          <w:r w:rsidRPr="00960CA2">
                            <w:rPr>
                              <w:rFonts w:ascii="Arial" w:hAnsi="Arial" w:cs="Arial"/>
                              <w:sz w:val="20"/>
                              <w:szCs w:val="20"/>
                            </w:rPr>
                            <w:t xml:space="preserve"> (2)</w:t>
                          </w:r>
                        </w:p>
                      </w:txbxContent>
                    </v:textbox>
                  </v:shape>
                </w:pict>
              </mc:Fallback>
            </mc:AlternateContent>
          </w:r>
        </w:p>
        <w:p w14:paraId="0C433B5F" w14:textId="77777777" w:rsidR="00960CA2" w:rsidRPr="003D022A" w:rsidRDefault="00960CA2" w:rsidP="00960CA2">
          <w:pPr>
            <w:pStyle w:val="Sidfot"/>
            <w:jc w:val="right"/>
            <w:rPr>
              <w:rFonts w:ascii="CourierForAlliansen" w:hAnsi="CourierForAlliansen"/>
            </w:rPr>
          </w:pPr>
        </w:p>
      </w:tc>
    </w:tr>
  </w:tbl>
  <w:p w14:paraId="63D2B7B0" w14:textId="77777777" w:rsidR="003B293C" w:rsidRDefault="003B293C" w:rsidP="007A00D6">
    <w:pPr>
      <w:pStyle w:val="Sidfot"/>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B67B" w14:textId="4D96800F" w:rsidR="003B293C" w:rsidRPr="003D022A" w:rsidRDefault="003B293C" w:rsidP="007C4A9F">
    <w:pPr>
      <w:pStyle w:val="Sidfot"/>
      <w:spacing w:before="0"/>
      <w:rPr>
        <w:rFonts w:ascii="CourierForAlliansen" w:hAnsi="CourierForAllians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0EB2" w14:textId="77777777" w:rsidR="0007599F" w:rsidRDefault="0007599F">
      <w:r>
        <w:separator/>
      </w:r>
    </w:p>
  </w:footnote>
  <w:footnote w:type="continuationSeparator" w:id="0">
    <w:p w14:paraId="48901A18" w14:textId="77777777" w:rsidR="0007599F" w:rsidRDefault="0007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2EAC" w14:textId="77777777" w:rsidR="004C4DD2" w:rsidRPr="001E12D9" w:rsidRDefault="004C4DD2" w:rsidP="004C4DD2">
    <w:pPr>
      <w:pStyle w:val="Sidhuvud"/>
      <w:tabs>
        <w:tab w:val="clear" w:pos="9072"/>
        <w:tab w:val="right" w:pos="9639"/>
      </w:tabs>
      <w:spacing w:before="0" w:after="120"/>
      <w:ind w:left="-426"/>
      <w:rPr>
        <w:rFonts w:ascii="Arial" w:hAnsi="Arial" w:cs="Arial"/>
        <w:sz w:val="26"/>
        <w:szCs w:val="26"/>
      </w:rPr>
    </w:pPr>
    <w:r w:rsidRPr="001E12D9">
      <w:rPr>
        <w:rFonts w:ascii="Arial" w:hAnsi="Arial" w:cs="Arial"/>
        <w:sz w:val="26"/>
        <w:szCs w:val="26"/>
      </w:rPr>
      <w:t>Alliansen i Skellefteå</w:t>
    </w:r>
    <w:r w:rsidRPr="001E12D9">
      <w:rPr>
        <w:rFonts w:ascii="Arial" w:hAnsi="Arial" w:cs="Arial"/>
        <w:sz w:val="26"/>
        <w:szCs w:val="26"/>
      </w:rPr>
      <w:tab/>
    </w:r>
    <w:r w:rsidRPr="001E12D9">
      <w:rPr>
        <w:rFonts w:ascii="Arial" w:hAnsi="Arial" w:cs="Arial"/>
        <w:sz w:val="26"/>
        <w:szCs w:val="26"/>
      </w:rPr>
      <w:tab/>
    </w:r>
    <w:r>
      <w:rPr>
        <w:rFonts w:ascii="Arial" w:hAnsi="Arial" w:cs="Arial"/>
        <w:sz w:val="26"/>
        <w:szCs w:val="26"/>
      </w:rPr>
      <w:t>2025-03-31</w:t>
    </w:r>
  </w:p>
  <w:p w14:paraId="5A7915F4" w14:textId="77777777" w:rsidR="003B293C" w:rsidRPr="004C4DD2" w:rsidRDefault="003B293C" w:rsidP="004C4DD2">
    <w:pPr>
      <w:pStyle w:val="Sidhuvud"/>
      <w:spacing w:after="12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1539" w14:textId="6DA4E5B3" w:rsidR="004C4DD2" w:rsidRDefault="003B293C" w:rsidP="004C4DD2">
    <w:pPr>
      <w:pStyle w:val="Sidhuvud"/>
      <w:tabs>
        <w:tab w:val="clear" w:pos="9072"/>
        <w:tab w:val="right" w:pos="9639"/>
      </w:tabs>
      <w:spacing w:before="0" w:after="120"/>
      <w:ind w:left="-426"/>
      <w:rPr>
        <w:rFonts w:ascii="Arial" w:hAnsi="Arial" w:cs="Arial"/>
        <w:sz w:val="26"/>
        <w:szCs w:val="26"/>
      </w:rPr>
    </w:pPr>
    <w:r w:rsidRPr="001E12D9">
      <w:rPr>
        <w:rFonts w:ascii="Arial" w:hAnsi="Arial" w:cs="Arial"/>
        <w:sz w:val="26"/>
        <w:szCs w:val="26"/>
      </w:rPr>
      <w:t>Alliansen i Skellefteå</w:t>
    </w:r>
    <w:r w:rsidRPr="001E12D9">
      <w:rPr>
        <w:rFonts w:ascii="Arial" w:hAnsi="Arial" w:cs="Arial"/>
        <w:sz w:val="26"/>
        <w:szCs w:val="26"/>
      </w:rPr>
      <w:tab/>
    </w:r>
    <w:r w:rsidRPr="001E12D9">
      <w:rPr>
        <w:rFonts w:ascii="Arial" w:hAnsi="Arial" w:cs="Arial"/>
        <w:sz w:val="26"/>
        <w:szCs w:val="26"/>
      </w:rPr>
      <w:tab/>
    </w:r>
    <w:r w:rsidR="00921401">
      <w:rPr>
        <w:rFonts w:ascii="Arial" w:hAnsi="Arial" w:cs="Arial"/>
        <w:sz w:val="26"/>
        <w:szCs w:val="26"/>
      </w:rPr>
      <w:t>20</w:t>
    </w:r>
    <w:r w:rsidR="00984549">
      <w:rPr>
        <w:rFonts w:ascii="Arial" w:hAnsi="Arial" w:cs="Arial"/>
        <w:sz w:val="26"/>
        <w:szCs w:val="26"/>
      </w:rPr>
      <w:t>2</w:t>
    </w:r>
    <w:r w:rsidR="00693385">
      <w:rPr>
        <w:rFonts w:ascii="Arial" w:hAnsi="Arial" w:cs="Arial"/>
        <w:sz w:val="26"/>
        <w:szCs w:val="26"/>
      </w:rPr>
      <w:t>5</w:t>
    </w:r>
    <w:r w:rsidR="00900137">
      <w:rPr>
        <w:rFonts w:ascii="Arial" w:hAnsi="Arial" w:cs="Arial"/>
        <w:sz w:val="26"/>
        <w:szCs w:val="26"/>
      </w:rPr>
      <w:t>-0</w:t>
    </w:r>
    <w:r w:rsidR="004C4DD2">
      <w:rPr>
        <w:rFonts w:ascii="Arial" w:hAnsi="Arial" w:cs="Arial"/>
        <w:sz w:val="26"/>
        <w:szCs w:val="26"/>
      </w:rPr>
      <w:t>3</w:t>
    </w:r>
    <w:r w:rsidR="00325743">
      <w:rPr>
        <w:rFonts w:ascii="Arial" w:hAnsi="Arial" w:cs="Arial"/>
        <w:sz w:val="26"/>
        <w:szCs w:val="26"/>
      </w:rPr>
      <w:t>-</w:t>
    </w:r>
    <w:r w:rsidR="004C4DD2">
      <w:rPr>
        <w:rFonts w:ascii="Arial" w:hAnsi="Arial" w:cs="Arial"/>
        <w:sz w:val="26"/>
        <w:szCs w:val="26"/>
      </w:rPr>
      <w:t>31</w:t>
    </w:r>
  </w:p>
  <w:p w14:paraId="7C36487F" w14:textId="77777777" w:rsidR="004C4DD2" w:rsidRPr="001E12D9" w:rsidRDefault="004C4DD2" w:rsidP="004C4DD2">
    <w:pPr>
      <w:pStyle w:val="Sidhuvud"/>
      <w:tabs>
        <w:tab w:val="clear" w:pos="9072"/>
        <w:tab w:val="right" w:pos="9639"/>
      </w:tabs>
      <w:spacing w:before="0" w:after="120"/>
      <w:ind w:left="-426"/>
      <w:rPr>
        <w:rFonts w:ascii="Arial" w:hAnsi="Arial" w:cs="Arial"/>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D7A"/>
    <w:multiLevelType w:val="hybridMultilevel"/>
    <w:tmpl w:val="3EBE9092"/>
    <w:lvl w:ilvl="0" w:tplc="36E2DCF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921F44"/>
    <w:multiLevelType w:val="hybridMultilevel"/>
    <w:tmpl w:val="A4889010"/>
    <w:lvl w:ilvl="0" w:tplc="BE0A13D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864BB"/>
    <w:multiLevelType w:val="hybridMultilevel"/>
    <w:tmpl w:val="51A6C3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897F7C"/>
    <w:multiLevelType w:val="hybridMultilevel"/>
    <w:tmpl w:val="220A59D0"/>
    <w:lvl w:ilvl="0" w:tplc="BE0A13D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3D5C98"/>
    <w:multiLevelType w:val="hybridMultilevel"/>
    <w:tmpl w:val="EBF25082"/>
    <w:lvl w:ilvl="0" w:tplc="0A4EBC7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26A4265"/>
    <w:multiLevelType w:val="hybridMultilevel"/>
    <w:tmpl w:val="D9DC5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4707463">
    <w:abstractNumId w:val="2"/>
  </w:num>
  <w:num w:numId="2" w16cid:durableId="1855800691">
    <w:abstractNumId w:val="0"/>
  </w:num>
  <w:num w:numId="3" w16cid:durableId="232743387">
    <w:abstractNumId w:val="5"/>
  </w:num>
  <w:num w:numId="4" w16cid:durableId="719978655">
    <w:abstractNumId w:val="4"/>
  </w:num>
  <w:num w:numId="5" w16cid:durableId="575553531">
    <w:abstractNumId w:val="1"/>
  </w:num>
  <w:num w:numId="6" w16cid:durableId="773597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46"/>
    <w:rsid w:val="00005EE0"/>
    <w:rsid w:val="00032792"/>
    <w:rsid w:val="000364EE"/>
    <w:rsid w:val="00043B2A"/>
    <w:rsid w:val="000613EE"/>
    <w:rsid w:val="000665A6"/>
    <w:rsid w:val="0007599F"/>
    <w:rsid w:val="00080C93"/>
    <w:rsid w:val="00092980"/>
    <w:rsid w:val="000E1038"/>
    <w:rsid w:val="000F19D1"/>
    <w:rsid w:val="000F4AB4"/>
    <w:rsid w:val="0011432D"/>
    <w:rsid w:val="00117816"/>
    <w:rsid w:val="0013114C"/>
    <w:rsid w:val="0013317C"/>
    <w:rsid w:val="0013792C"/>
    <w:rsid w:val="00140D13"/>
    <w:rsid w:val="00184122"/>
    <w:rsid w:val="001B4035"/>
    <w:rsid w:val="001B47FC"/>
    <w:rsid w:val="001B5363"/>
    <w:rsid w:val="001C2878"/>
    <w:rsid w:val="001D53CA"/>
    <w:rsid w:val="001E12D9"/>
    <w:rsid w:val="001E1E91"/>
    <w:rsid w:val="001E2A85"/>
    <w:rsid w:val="001E6EC9"/>
    <w:rsid w:val="001F1161"/>
    <w:rsid w:val="0020121A"/>
    <w:rsid w:val="002022CB"/>
    <w:rsid w:val="00221CC7"/>
    <w:rsid w:val="002540E0"/>
    <w:rsid w:val="00264C26"/>
    <w:rsid w:val="002753F9"/>
    <w:rsid w:val="00280C27"/>
    <w:rsid w:val="002A69BA"/>
    <w:rsid w:val="002B6413"/>
    <w:rsid w:val="002D344B"/>
    <w:rsid w:val="002E0369"/>
    <w:rsid w:val="002E3C26"/>
    <w:rsid w:val="002F3505"/>
    <w:rsid w:val="00302F3E"/>
    <w:rsid w:val="003040B3"/>
    <w:rsid w:val="00307FD8"/>
    <w:rsid w:val="003200D5"/>
    <w:rsid w:val="00320530"/>
    <w:rsid w:val="00325743"/>
    <w:rsid w:val="0034130A"/>
    <w:rsid w:val="00371D7C"/>
    <w:rsid w:val="003805A3"/>
    <w:rsid w:val="003821DC"/>
    <w:rsid w:val="003869D5"/>
    <w:rsid w:val="003A451F"/>
    <w:rsid w:val="003B1EAE"/>
    <w:rsid w:val="003B293C"/>
    <w:rsid w:val="003B5044"/>
    <w:rsid w:val="003B5BE6"/>
    <w:rsid w:val="003B6346"/>
    <w:rsid w:val="003D022A"/>
    <w:rsid w:val="003D22BF"/>
    <w:rsid w:val="003F3487"/>
    <w:rsid w:val="003F3A71"/>
    <w:rsid w:val="003F3B49"/>
    <w:rsid w:val="00411B76"/>
    <w:rsid w:val="00414344"/>
    <w:rsid w:val="00420736"/>
    <w:rsid w:val="004260A4"/>
    <w:rsid w:val="00427AB9"/>
    <w:rsid w:val="00432A78"/>
    <w:rsid w:val="00433A62"/>
    <w:rsid w:val="00435302"/>
    <w:rsid w:val="00437332"/>
    <w:rsid w:val="004441CA"/>
    <w:rsid w:val="004449A0"/>
    <w:rsid w:val="004502F3"/>
    <w:rsid w:val="00471FD7"/>
    <w:rsid w:val="00480786"/>
    <w:rsid w:val="004C4DD2"/>
    <w:rsid w:val="00506520"/>
    <w:rsid w:val="00516569"/>
    <w:rsid w:val="00535193"/>
    <w:rsid w:val="005445F8"/>
    <w:rsid w:val="0055033C"/>
    <w:rsid w:val="0055589D"/>
    <w:rsid w:val="00583D0D"/>
    <w:rsid w:val="005A3C69"/>
    <w:rsid w:val="005B0248"/>
    <w:rsid w:val="005D151B"/>
    <w:rsid w:val="005D4EE1"/>
    <w:rsid w:val="00605961"/>
    <w:rsid w:val="00611600"/>
    <w:rsid w:val="0065544E"/>
    <w:rsid w:val="00661A41"/>
    <w:rsid w:val="00663613"/>
    <w:rsid w:val="0067361B"/>
    <w:rsid w:val="00693385"/>
    <w:rsid w:val="006A2AA1"/>
    <w:rsid w:val="006C2B15"/>
    <w:rsid w:val="007020D3"/>
    <w:rsid w:val="00713700"/>
    <w:rsid w:val="007309A0"/>
    <w:rsid w:val="00740FA0"/>
    <w:rsid w:val="007965A2"/>
    <w:rsid w:val="007A00D6"/>
    <w:rsid w:val="007A19FE"/>
    <w:rsid w:val="007A522C"/>
    <w:rsid w:val="007C4A9F"/>
    <w:rsid w:val="007D5C93"/>
    <w:rsid w:val="007F5B91"/>
    <w:rsid w:val="00802C1B"/>
    <w:rsid w:val="0083488F"/>
    <w:rsid w:val="00844312"/>
    <w:rsid w:val="0085169A"/>
    <w:rsid w:val="00852E1F"/>
    <w:rsid w:val="00870E2A"/>
    <w:rsid w:val="00896A97"/>
    <w:rsid w:val="00896E8E"/>
    <w:rsid w:val="008A0B9D"/>
    <w:rsid w:val="008E4BFB"/>
    <w:rsid w:val="008F0DB0"/>
    <w:rsid w:val="00900137"/>
    <w:rsid w:val="00901F17"/>
    <w:rsid w:val="00921401"/>
    <w:rsid w:val="00950A1E"/>
    <w:rsid w:val="00960CA2"/>
    <w:rsid w:val="00975D8F"/>
    <w:rsid w:val="00977EFD"/>
    <w:rsid w:val="00984549"/>
    <w:rsid w:val="0098536B"/>
    <w:rsid w:val="00996B39"/>
    <w:rsid w:val="009B5713"/>
    <w:rsid w:val="009C1BB8"/>
    <w:rsid w:val="009D51B0"/>
    <w:rsid w:val="00A03D37"/>
    <w:rsid w:val="00A11699"/>
    <w:rsid w:val="00A24410"/>
    <w:rsid w:val="00A3365A"/>
    <w:rsid w:val="00A34BD1"/>
    <w:rsid w:val="00A42416"/>
    <w:rsid w:val="00A4447D"/>
    <w:rsid w:val="00A5049C"/>
    <w:rsid w:val="00A64380"/>
    <w:rsid w:val="00A83A71"/>
    <w:rsid w:val="00A955E3"/>
    <w:rsid w:val="00AA5198"/>
    <w:rsid w:val="00AA75E6"/>
    <w:rsid w:val="00AB0677"/>
    <w:rsid w:val="00AE65C0"/>
    <w:rsid w:val="00AF06F3"/>
    <w:rsid w:val="00B14C07"/>
    <w:rsid w:val="00B21C45"/>
    <w:rsid w:val="00B269B8"/>
    <w:rsid w:val="00B30EB7"/>
    <w:rsid w:val="00B66112"/>
    <w:rsid w:val="00BA26FC"/>
    <w:rsid w:val="00BA28FB"/>
    <w:rsid w:val="00BD3D2E"/>
    <w:rsid w:val="00BD7E96"/>
    <w:rsid w:val="00BE72F1"/>
    <w:rsid w:val="00BF7322"/>
    <w:rsid w:val="00C27467"/>
    <w:rsid w:val="00C30C16"/>
    <w:rsid w:val="00C31A99"/>
    <w:rsid w:val="00C362C6"/>
    <w:rsid w:val="00C458D3"/>
    <w:rsid w:val="00C71B9C"/>
    <w:rsid w:val="00C77CC1"/>
    <w:rsid w:val="00C80912"/>
    <w:rsid w:val="00C93EC2"/>
    <w:rsid w:val="00C94184"/>
    <w:rsid w:val="00C95748"/>
    <w:rsid w:val="00CB267B"/>
    <w:rsid w:val="00CB68C2"/>
    <w:rsid w:val="00CC6087"/>
    <w:rsid w:val="00CE0889"/>
    <w:rsid w:val="00CF2BD5"/>
    <w:rsid w:val="00CF77E2"/>
    <w:rsid w:val="00D043FD"/>
    <w:rsid w:val="00D15AC6"/>
    <w:rsid w:val="00D20B34"/>
    <w:rsid w:val="00D32B30"/>
    <w:rsid w:val="00D60E0C"/>
    <w:rsid w:val="00D70C05"/>
    <w:rsid w:val="00D733E0"/>
    <w:rsid w:val="00D80837"/>
    <w:rsid w:val="00DA79C1"/>
    <w:rsid w:val="00DB61B6"/>
    <w:rsid w:val="00DD34CC"/>
    <w:rsid w:val="00DF7C54"/>
    <w:rsid w:val="00E020DC"/>
    <w:rsid w:val="00E0534C"/>
    <w:rsid w:val="00E21368"/>
    <w:rsid w:val="00E2586E"/>
    <w:rsid w:val="00E408A7"/>
    <w:rsid w:val="00E517E7"/>
    <w:rsid w:val="00E53815"/>
    <w:rsid w:val="00EA06AB"/>
    <w:rsid w:val="00EB46A3"/>
    <w:rsid w:val="00ED4979"/>
    <w:rsid w:val="00ED5C49"/>
    <w:rsid w:val="00EE3141"/>
    <w:rsid w:val="00F02F5E"/>
    <w:rsid w:val="00F5207C"/>
    <w:rsid w:val="00F62974"/>
    <w:rsid w:val="00F64AEE"/>
    <w:rsid w:val="00F74C07"/>
    <w:rsid w:val="00F9570A"/>
    <w:rsid w:val="00FB2759"/>
    <w:rsid w:val="00FB5147"/>
    <w:rsid w:val="00FD3719"/>
    <w:rsid w:val="00FE322A"/>
    <w:rsid w:val="00FE7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FFF5E"/>
  <w15:docId w15:val="{847FF66D-345C-4751-A538-AFEF3F56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600"/>
    <w:pPr>
      <w:spacing w:before="240"/>
    </w:pPr>
    <w:rPr>
      <w:rFonts w:ascii="Minion Pro" w:hAnsi="Minion Pro"/>
      <w:sz w:val="24"/>
      <w:szCs w:val="24"/>
    </w:rPr>
  </w:style>
  <w:style w:type="paragraph" w:styleId="Rubrik1">
    <w:name w:val="heading 1"/>
    <w:basedOn w:val="Normal"/>
    <w:next w:val="Normalfrsta"/>
    <w:qFormat/>
    <w:pPr>
      <w:keepNext/>
      <w:outlineLvl w:val="0"/>
    </w:pPr>
    <w:rPr>
      <w:sz w:val="48"/>
    </w:rPr>
  </w:style>
  <w:style w:type="paragraph" w:styleId="Rubrik2">
    <w:name w:val="heading 2"/>
    <w:basedOn w:val="Rubrik1"/>
    <w:next w:val="Normalfrsta"/>
    <w:qFormat/>
    <w:pPr>
      <w:outlineLvl w:val="1"/>
    </w:pPr>
    <w:rPr>
      <w:sz w:val="42"/>
    </w:rPr>
  </w:style>
  <w:style w:type="paragraph" w:styleId="Rubrik3">
    <w:name w:val="heading 3"/>
    <w:basedOn w:val="Normal"/>
    <w:next w:val="Normalfrsta"/>
    <w:qFormat/>
    <w:pPr>
      <w:keepNext/>
      <w:outlineLvl w:val="2"/>
    </w:pPr>
    <w:rPr>
      <w:sz w:val="36"/>
    </w:rPr>
  </w:style>
  <w:style w:type="paragraph" w:styleId="Rubrik4">
    <w:name w:val="heading 4"/>
    <w:basedOn w:val="Normal"/>
    <w:next w:val="Normalfrsta"/>
    <w:qFormat/>
    <w:pPr>
      <w:keepNext/>
      <w:outlineLvl w:val="3"/>
    </w:pPr>
    <w:rPr>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Rubrik">
    <w:name w:val="Title"/>
    <w:basedOn w:val="Normal"/>
    <w:qFormat/>
    <w:pPr>
      <w:jc w:val="center"/>
    </w:pPr>
    <w:rPr>
      <w:color w:val="FFFFFF"/>
      <w:sz w:val="62"/>
    </w:rPr>
  </w:style>
  <w:style w:type="paragraph" w:styleId="Underrubrik">
    <w:name w:val="Subtitle"/>
    <w:basedOn w:val="Normal"/>
    <w:qFormat/>
    <w:pPr>
      <w:spacing w:before="600"/>
      <w:jc w:val="center"/>
    </w:pPr>
    <w:rPr>
      <w:color w:val="FFFFFF"/>
      <w:sz w:val="74"/>
    </w:rPr>
  </w:style>
  <w:style w:type="character" w:styleId="Hyperlnk">
    <w:name w:val="Hyperlink"/>
    <w:rsid w:val="0083488F"/>
    <w:rPr>
      <w:color w:val="0000FF"/>
      <w:u w:val="single"/>
    </w:rPr>
  </w:style>
  <w:style w:type="paragraph" w:customStyle="1" w:styleId="Normalfrsta">
    <w:name w:val="Normal första"/>
    <w:basedOn w:val="Normal"/>
    <w:next w:val="Normal"/>
    <w:pPr>
      <w:spacing w:before="120"/>
    </w:pPr>
  </w:style>
  <w:style w:type="paragraph" w:styleId="Ballongtext">
    <w:name w:val="Balloon Text"/>
    <w:basedOn w:val="Normal"/>
    <w:semiHidden/>
    <w:rsid w:val="00414344"/>
    <w:rPr>
      <w:rFonts w:ascii="Tahoma" w:hAnsi="Tahoma" w:cs="Tahoma"/>
      <w:sz w:val="16"/>
      <w:szCs w:val="16"/>
    </w:rPr>
  </w:style>
  <w:style w:type="character" w:styleId="Sidnummer">
    <w:name w:val="page number"/>
    <w:basedOn w:val="Standardstycketeckensnitt"/>
    <w:rsid w:val="007A522C"/>
  </w:style>
  <w:style w:type="table" w:styleId="Tabellrutnt">
    <w:name w:val="Table Grid"/>
    <w:basedOn w:val="Normaltabell"/>
    <w:rsid w:val="00870E2A"/>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F02F5E"/>
    <w:pPr>
      <w:spacing w:before="100" w:beforeAutospacing="1" w:after="100" w:afterAutospacing="1"/>
    </w:pPr>
    <w:rPr>
      <w:rFonts w:ascii="Times New Roman" w:hAnsi="Times New Roman"/>
    </w:rPr>
  </w:style>
  <w:style w:type="paragraph" w:styleId="Liststycke">
    <w:name w:val="List Paragraph"/>
    <w:basedOn w:val="Normal"/>
    <w:uiPriority w:val="34"/>
    <w:qFormat/>
    <w:rsid w:val="00693385"/>
    <w:pPr>
      <w:ind w:left="720"/>
      <w:contextualSpacing/>
    </w:pPr>
  </w:style>
  <w:style w:type="character" w:customStyle="1" w:styleId="SidfotChar">
    <w:name w:val="Sidfot Char"/>
    <w:basedOn w:val="Standardstycketeckensnitt"/>
    <w:link w:val="Sidfot"/>
    <w:uiPriority w:val="99"/>
    <w:rsid w:val="004C4DD2"/>
    <w:rPr>
      <w:rFonts w:ascii="Minion Pro" w:hAnsi="Minion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246;&#246;ken\Mina%20dokument\Office\Alliansen\Grafisk%20profil\Reservatio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DEC2-1D19-4E95-938C-B8B5B089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Reservation</Template>
  <TotalTime>12</TotalTime>
  <Pages>2</Pages>
  <Words>588</Words>
  <Characters>3387</Characters>
  <Application>Microsoft Office Word</Application>
  <DocSecurity>0</DocSecurity>
  <Lines>56</Lines>
  <Paragraphs>17</Paragraphs>
  <ScaleCrop>false</ScaleCrop>
  <HeadingPairs>
    <vt:vector size="2" baseType="variant">
      <vt:variant>
        <vt:lpstr>Rubrik</vt:lpstr>
      </vt:variant>
      <vt:variant>
        <vt:i4>1</vt:i4>
      </vt:variant>
    </vt:vector>
  </HeadingPairs>
  <TitlesOfParts>
    <vt:vector size="1" baseType="lpstr">
      <vt:lpstr>Rapporttitel</vt:lpstr>
    </vt:vector>
  </TitlesOfParts>
  <Company>Moderaterna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Rapporttitel</dc:title>
  <dc:creator>Andreas Löwenhöök</dc:creator>
  <cp:lastModifiedBy>Andreas Löwenhöök</cp:lastModifiedBy>
  <cp:revision>3</cp:revision>
  <cp:lastPrinted>2025-02-27T07:48:00Z</cp:lastPrinted>
  <dcterms:created xsi:type="dcterms:W3CDTF">2025-03-31T07:52:00Z</dcterms:created>
  <dcterms:modified xsi:type="dcterms:W3CDTF">2025-03-31T08:04:00Z</dcterms:modified>
</cp:coreProperties>
</file>